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5959" w:rsidRPr="00832AD7" w:rsidRDefault="00AF5959" w:rsidP="00AF5959">
      <w:pPr>
        <w:spacing w:after="0" w:line="240" w:lineRule="auto"/>
        <w:rPr>
          <w:rFonts w:cs="David"/>
          <w:b/>
          <w:bCs/>
          <w:sz w:val="16"/>
          <w:szCs w:val="16"/>
          <w:rtl/>
        </w:rPr>
      </w:pPr>
      <w:bookmarkStart w:id="0" w:name="_GoBack"/>
      <w:bookmarkEnd w:id="0"/>
    </w:p>
    <w:p w:rsidR="00AF5959" w:rsidRPr="00832AD7" w:rsidRDefault="00AF5959" w:rsidP="00AF5959">
      <w:pPr>
        <w:spacing w:after="0" w:line="240" w:lineRule="auto"/>
        <w:jc w:val="right"/>
        <w:rPr>
          <w:rFonts w:ascii="Times New Roman" w:eastAsia="Times New Roman" w:hAnsi="Times New Roman" w:cs="David"/>
          <w:sz w:val="16"/>
          <w:szCs w:val="16"/>
        </w:rPr>
      </w:pPr>
      <w:r>
        <w:rPr>
          <w:rFonts w:ascii="Times New Roman" w:eastAsia="Times New Roman" w:hAnsi="Times New Roman" w:cs="David" w:hint="cs"/>
          <w:sz w:val="16"/>
          <w:szCs w:val="16"/>
          <w:rtl/>
        </w:rPr>
        <w:t>3 ביולי 2023</w:t>
      </w:r>
    </w:p>
    <w:p w:rsidR="00AF5959" w:rsidRPr="00832AD7" w:rsidRDefault="00AF5959" w:rsidP="00AF5959">
      <w:pPr>
        <w:spacing w:after="0" w:line="240" w:lineRule="auto"/>
        <w:jc w:val="right"/>
        <w:rPr>
          <w:rFonts w:ascii="Times New Roman" w:eastAsia="Times New Roman" w:hAnsi="Times New Roman" w:cs="David"/>
          <w:sz w:val="16"/>
          <w:szCs w:val="16"/>
          <w:rtl/>
        </w:rPr>
      </w:pPr>
      <w:r w:rsidRPr="00832AD7">
        <w:rPr>
          <w:rFonts w:ascii="Times New Roman" w:eastAsia="Times New Roman" w:hAnsi="Times New Roman" w:cs="David" w:hint="cs"/>
          <w:sz w:val="16"/>
          <w:szCs w:val="16"/>
          <w:rtl/>
        </w:rPr>
        <w:t xml:space="preserve">                                                                                                   </w:t>
      </w: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DocDateHeb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Pr>
          <w:rFonts w:ascii="Times New Roman" w:eastAsia="Times New Roman" w:hAnsi="Times New Roman" w:cs="David" w:hint="cs"/>
          <w:sz w:val="16"/>
          <w:szCs w:val="16"/>
          <w:rtl/>
        </w:rPr>
        <w:t>י"ד בתמוז תשפ"ג</w:t>
      </w:r>
      <w:r w:rsidRPr="00832AD7">
        <w:rPr>
          <w:rFonts w:ascii="Times New Roman" w:eastAsia="Times New Roman" w:hAnsi="Times New Roman" w:cs="David" w:hint="cs"/>
          <w:sz w:val="16"/>
          <w:szCs w:val="16"/>
          <w:rtl/>
        </w:rPr>
        <w:fldChar w:fldCharType="end"/>
      </w:r>
    </w:p>
    <w:p w:rsidR="00AF5959" w:rsidRDefault="00AF5959" w:rsidP="00E041D3">
      <w:pPr>
        <w:rPr>
          <w:rFonts w:ascii="David" w:hAnsi="David" w:cs="David"/>
          <w:b/>
          <w:bCs/>
          <w:sz w:val="24"/>
          <w:szCs w:val="24"/>
          <w:u w:val="single"/>
          <w:rtl/>
        </w:rPr>
      </w:pPr>
    </w:p>
    <w:p w:rsidR="00C41D1F" w:rsidRDefault="009F435A" w:rsidP="009F435A">
      <w:pPr>
        <w:jc w:val="center"/>
        <w:rPr>
          <w:rFonts w:ascii="David" w:hAnsi="David" w:cs="David"/>
          <w:b/>
          <w:bCs/>
          <w:sz w:val="24"/>
          <w:szCs w:val="24"/>
          <w:u w:val="single"/>
          <w:rtl/>
        </w:rPr>
      </w:pPr>
      <w:r>
        <w:rPr>
          <w:rFonts w:ascii="David" w:hAnsi="David" w:cs="David" w:hint="cs"/>
          <w:b/>
          <w:bCs/>
          <w:sz w:val="24"/>
          <w:szCs w:val="24"/>
          <w:u w:val="single"/>
          <w:rtl/>
        </w:rPr>
        <w:t xml:space="preserve">תקציר גז"ד </w:t>
      </w:r>
      <w:r w:rsidR="00C41D1F" w:rsidRPr="00AF37A0">
        <w:rPr>
          <w:rFonts w:ascii="David" w:hAnsi="David" w:cs="David"/>
          <w:b/>
          <w:bCs/>
          <w:sz w:val="24"/>
          <w:szCs w:val="24"/>
          <w:u w:val="single"/>
          <w:rtl/>
        </w:rPr>
        <w:t>ת</w:t>
      </w:r>
      <w:r>
        <w:rPr>
          <w:rFonts w:ascii="David" w:hAnsi="David" w:cs="David" w:hint="cs"/>
          <w:b/>
          <w:bCs/>
          <w:sz w:val="24"/>
          <w:szCs w:val="24"/>
          <w:u w:val="single"/>
          <w:rtl/>
        </w:rPr>
        <w:t>"</w:t>
      </w:r>
      <w:r>
        <w:rPr>
          <w:rFonts w:ascii="David" w:hAnsi="David" w:cs="David"/>
          <w:b/>
          <w:bCs/>
          <w:sz w:val="24"/>
          <w:szCs w:val="24"/>
          <w:u w:val="single"/>
          <w:rtl/>
        </w:rPr>
        <w:t>פ</w:t>
      </w:r>
      <w:r w:rsidR="00C41D1F" w:rsidRPr="00AF37A0">
        <w:rPr>
          <w:rFonts w:ascii="David" w:hAnsi="David" w:cs="David"/>
          <w:b/>
          <w:bCs/>
          <w:sz w:val="24"/>
          <w:szCs w:val="24"/>
          <w:u w:val="single"/>
          <w:rtl/>
        </w:rPr>
        <w:t xml:space="preserve"> 30623-05-21 </w:t>
      </w:r>
      <w:r>
        <w:rPr>
          <w:rFonts w:ascii="David" w:hAnsi="David" w:cs="David" w:hint="cs"/>
          <w:b/>
          <w:bCs/>
          <w:sz w:val="24"/>
          <w:szCs w:val="24"/>
          <w:u w:val="single"/>
          <w:rtl/>
        </w:rPr>
        <w:t xml:space="preserve">מדינת ישראל נגד </w:t>
      </w:r>
      <w:r>
        <w:rPr>
          <w:rFonts w:ascii="David" w:hAnsi="David" w:cs="David"/>
          <w:b/>
          <w:bCs/>
          <w:sz w:val="24"/>
          <w:szCs w:val="24"/>
          <w:u w:val="single"/>
          <w:rtl/>
        </w:rPr>
        <w:t>עמרני</w:t>
      </w:r>
    </w:p>
    <w:p w:rsidR="009F435A" w:rsidRDefault="009F435A" w:rsidP="009F435A">
      <w:pPr>
        <w:jc w:val="center"/>
        <w:rPr>
          <w:rFonts w:ascii="David" w:hAnsi="David" w:cs="David"/>
          <w:b/>
          <w:bCs/>
          <w:sz w:val="24"/>
          <w:szCs w:val="24"/>
          <w:u w:val="single"/>
          <w:rtl/>
        </w:rPr>
      </w:pPr>
      <w:r>
        <w:rPr>
          <w:rFonts w:ascii="David" w:hAnsi="David" w:cs="David" w:hint="cs"/>
          <w:b/>
          <w:bCs/>
          <w:sz w:val="24"/>
          <w:szCs w:val="24"/>
          <w:u w:val="single"/>
          <w:rtl/>
        </w:rPr>
        <w:t>השופט יואב עטר</w:t>
      </w:r>
    </w:p>
    <w:p w:rsidR="00C41D1F" w:rsidRDefault="00C41D1F" w:rsidP="00C41D1F">
      <w:pPr>
        <w:spacing w:line="360" w:lineRule="auto"/>
        <w:rPr>
          <w:rFonts w:ascii="David" w:hAnsi="David" w:cs="David"/>
          <w:b/>
          <w:bCs/>
          <w:sz w:val="24"/>
          <w:szCs w:val="24"/>
          <w:u w:val="single"/>
          <w:rtl/>
        </w:rPr>
      </w:pPr>
    </w:p>
    <w:p w:rsidR="00A178C5" w:rsidRPr="004D03D8" w:rsidRDefault="00C41D1F" w:rsidP="004D03D8">
      <w:pPr>
        <w:pStyle w:val="a3"/>
        <w:spacing w:line="360" w:lineRule="auto"/>
        <w:jc w:val="both"/>
        <w:rPr>
          <w:rFonts w:ascii="David" w:hAnsi="David" w:cs="David"/>
          <w:sz w:val="24"/>
          <w:szCs w:val="24"/>
        </w:rPr>
      </w:pPr>
      <w:r>
        <w:rPr>
          <w:rFonts w:ascii="David" w:hAnsi="David" w:cs="David" w:hint="cs"/>
          <w:sz w:val="24"/>
          <w:szCs w:val="24"/>
          <w:rtl/>
        </w:rPr>
        <w:t xml:space="preserve">הנאשם הורשע, לאחר שמיעת הראיות, בביצוע עבירות של </w:t>
      </w:r>
      <w:r w:rsidRPr="00995568">
        <w:rPr>
          <w:rFonts w:ascii="David" w:hAnsi="David" w:cs="David" w:hint="cs"/>
          <w:b/>
          <w:bCs/>
          <w:sz w:val="24"/>
          <w:szCs w:val="24"/>
          <w:rtl/>
        </w:rPr>
        <w:t>התפרעות</w:t>
      </w:r>
      <w:r>
        <w:rPr>
          <w:rFonts w:ascii="David" w:hAnsi="David" w:cs="David" w:hint="cs"/>
          <w:sz w:val="24"/>
          <w:szCs w:val="24"/>
          <w:rtl/>
        </w:rPr>
        <w:t xml:space="preserve">, </w:t>
      </w:r>
      <w:r w:rsidRPr="00995568">
        <w:rPr>
          <w:rFonts w:ascii="David" w:hAnsi="David" w:cs="David" w:hint="cs"/>
          <w:b/>
          <w:bCs/>
          <w:sz w:val="24"/>
          <w:szCs w:val="24"/>
          <w:rtl/>
        </w:rPr>
        <w:t xml:space="preserve">מעשי פזיזות ורשלנות </w:t>
      </w:r>
      <w:r w:rsidRPr="00995568">
        <w:rPr>
          <w:rFonts w:ascii="David" w:hAnsi="David" w:cs="David"/>
          <w:b/>
          <w:bCs/>
          <w:sz w:val="24"/>
          <w:szCs w:val="24"/>
          <w:rtl/>
        </w:rPr>
        <w:t>–</w:t>
      </w:r>
      <w:r w:rsidRPr="00995568">
        <w:rPr>
          <w:rFonts w:ascii="David" w:hAnsi="David" w:cs="David" w:hint="cs"/>
          <w:b/>
          <w:bCs/>
          <w:sz w:val="24"/>
          <w:szCs w:val="24"/>
          <w:rtl/>
        </w:rPr>
        <w:t xml:space="preserve"> מעשה באש</w:t>
      </w:r>
      <w:r>
        <w:rPr>
          <w:rFonts w:ascii="David" w:hAnsi="David" w:cs="David" w:hint="cs"/>
          <w:sz w:val="24"/>
          <w:szCs w:val="24"/>
          <w:rtl/>
        </w:rPr>
        <w:t xml:space="preserve">, </w:t>
      </w:r>
      <w:r w:rsidRPr="00995568">
        <w:rPr>
          <w:rFonts w:ascii="David" w:hAnsi="David" w:cs="David" w:hint="cs"/>
          <w:b/>
          <w:bCs/>
          <w:sz w:val="24"/>
          <w:szCs w:val="24"/>
          <w:rtl/>
        </w:rPr>
        <w:t>יידוי או ירי של אבן או חפץ אחר לעבר כלי תחבורה</w:t>
      </w:r>
      <w:r>
        <w:rPr>
          <w:rFonts w:ascii="David" w:hAnsi="David" w:cs="David" w:hint="cs"/>
          <w:sz w:val="24"/>
          <w:szCs w:val="24"/>
          <w:rtl/>
        </w:rPr>
        <w:t xml:space="preserve">, </w:t>
      </w:r>
      <w:r w:rsidRPr="00995568">
        <w:rPr>
          <w:rFonts w:ascii="David" w:hAnsi="David" w:cs="David" w:hint="cs"/>
          <w:b/>
          <w:bCs/>
          <w:sz w:val="24"/>
          <w:szCs w:val="24"/>
          <w:rtl/>
        </w:rPr>
        <w:t>הפרעה לשוטר בשעת מילוי תפקידו</w:t>
      </w:r>
      <w:r w:rsidR="00A178C5">
        <w:rPr>
          <w:rFonts w:ascii="David" w:hAnsi="David" w:cs="David" w:hint="cs"/>
          <w:sz w:val="24"/>
          <w:szCs w:val="24"/>
          <w:rtl/>
        </w:rPr>
        <w:t xml:space="preserve"> (עבירה לפי סעיף 275 לחוק הנ"ל)</w:t>
      </w:r>
      <w:r>
        <w:rPr>
          <w:rFonts w:ascii="David" w:hAnsi="David" w:cs="David" w:hint="cs"/>
          <w:sz w:val="24"/>
          <w:szCs w:val="24"/>
          <w:rtl/>
        </w:rPr>
        <w:t xml:space="preserve">. </w:t>
      </w:r>
      <w:r w:rsidRPr="00A178C5">
        <w:rPr>
          <w:rFonts w:ascii="David" w:hAnsi="David" w:cs="David" w:hint="cs"/>
          <w:sz w:val="24"/>
          <w:szCs w:val="24"/>
          <w:rtl/>
        </w:rPr>
        <w:t xml:space="preserve">בקצה המזלג יצוין כי הנאשם הורשע בכך שבמהלך ימי מבצע "שומר החומות" </w:t>
      </w:r>
      <w:r w:rsidRPr="00462ECE">
        <w:rPr>
          <w:rFonts w:ascii="David" w:hAnsi="David" w:cs="David" w:hint="cs"/>
          <w:sz w:val="24"/>
          <w:szCs w:val="24"/>
          <w:rtl/>
        </w:rPr>
        <w:t xml:space="preserve">הנאשם, השתתף ביחד עם אחרים שזהותם אינה ידועה בהתפרעות שהתרחשה </w:t>
      </w:r>
      <w:r w:rsidR="004D03D8">
        <w:rPr>
          <w:rFonts w:ascii="David" w:hAnsi="David" w:cs="David" w:hint="cs"/>
          <w:sz w:val="24"/>
          <w:szCs w:val="24"/>
          <w:rtl/>
        </w:rPr>
        <w:t>באישון ליל,</w:t>
      </w:r>
      <w:r w:rsidRPr="00462ECE">
        <w:rPr>
          <w:rFonts w:ascii="David" w:hAnsi="David" w:cs="David" w:hint="cs"/>
          <w:sz w:val="24"/>
          <w:szCs w:val="24"/>
          <w:rtl/>
        </w:rPr>
        <w:t xml:space="preserve"> ואשר כללה חסימת כביש בין עירוני המוליך בין ישובים בנגב באמצעות צמיגים בוערים, על ידי מתפרעים רעולי פנים ובהם הנאשם. כוח משטרתי</w:t>
      </w:r>
      <w:r w:rsidR="00A178C5" w:rsidRPr="00462ECE">
        <w:rPr>
          <w:rFonts w:ascii="David" w:hAnsi="David" w:cs="David" w:hint="cs"/>
          <w:sz w:val="24"/>
          <w:szCs w:val="24"/>
          <w:rtl/>
        </w:rPr>
        <w:t xml:space="preserve">, הגיע למקום ב- 3 ניידות משטרה. </w:t>
      </w:r>
      <w:r w:rsidRPr="00462ECE">
        <w:rPr>
          <w:rFonts w:ascii="David" w:hAnsi="David" w:cs="David" w:hint="cs"/>
          <w:sz w:val="24"/>
          <w:szCs w:val="24"/>
          <w:rtl/>
        </w:rPr>
        <w:t>השוטרים התקרבו לאותה חסימה כשהאורות הכחולים של הניידות כבויים והניידות מסנוורות את המתפרעים באמצעות האורות הגבוהים של הניידות, באופן שנחזו ככלי רכב אזרחיים המתקרבים למקום. הנאשם עמד בקדמת אותה חסימה, כשהוא רעול פנים ואוחז שתי אבנים בידיו</w:t>
      </w:r>
      <w:r w:rsidR="00A178C5" w:rsidRPr="00462ECE">
        <w:rPr>
          <w:rFonts w:ascii="David" w:hAnsi="David" w:cs="David" w:hint="cs"/>
          <w:sz w:val="24"/>
          <w:szCs w:val="24"/>
          <w:rtl/>
        </w:rPr>
        <w:t xml:space="preserve"> </w:t>
      </w:r>
      <w:r w:rsidRPr="00462ECE">
        <w:rPr>
          <w:rFonts w:ascii="David" w:hAnsi="David" w:cs="David" w:hint="cs"/>
          <w:sz w:val="24"/>
          <w:szCs w:val="24"/>
          <w:rtl/>
        </w:rPr>
        <w:t>סימן  בידיו לניידת הראשונה לעצור</w:t>
      </w:r>
      <w:r w:rsidR="00462ECE" w:rsidRPr="00462ECE">
        <w:rPr>
          <w:rFonts w:ascii="David" w:hAnsi="David" w:cs="David" w:hint="cs"/>
          <w:sz w:val="24"/>
          <w:szCs w:val="24"/>
          <w:rtl/>
        </w:rPr>
        <w:t xml:space="preserve"> ובהמשך יידה שתי אבנים לעבר הניידת.</w:t>
      </w:r>
    </w:p>
    <w:p w:rsidR="00462ECE" w:rsidRDefault="00C41D1F" w:rsidP="004D03D8">
      <w:pPr>
        <w:pStyle w:val="a3"/>
        <w:spacing w:line="360" w:lineRule="auto"/>
        <w:jc w:val="both"/>
        <w:rPr>
          <w:rFonts w:ascii="David" w:hAnsi="David" w:cs="David"/>
          <w:sz w:val="24"/>
          <w:szCs w:val="24"/>
        </w:rPr>
      </w:pPr>
      <w:r w:rsidRPr="00965D54">
        <w:rPr>
          <w:rFonts w:ascii="David" w:hAnsi="David" w:cs="David" w:hint="cs"/>
          <w:sz w:val="24"/>
          <w:szCs w:val="24"/>
          <w:rtl/>
        </w:rPr>
        <w:t xml:space="preserve">לא ניתן לנתק את מעשי הנאשם ואת אותה התפרעות נקודתית בה השתתף ממכלול האירועים וההתרחשויות באותה עת. מעשים אלו </w:t>
      </w:r>
      <w:r w:rsidR="00462ECE">
        <w:rPr>
          <w:rFonts w:ascii="David" w:hAnsi="David" w:cs="David" w:hint="cs"/>
          <w:sz w:val="24"/>
          <w:szCs w:val="24"/>
          <w:rtl/>
        </w:rPr>
        <w:t>ש</w:t>
      </w:r>
      <w:r w:rsidRPr="00965D54">
        <w:rPr>
          <w:rFonts w:ascii="David" w:hAnsi="David" w:cs="David" w:hint="cs"/>
          <w:sz w:val="24"/>
          <w:szCs w:val="24"/>
          <w:rtl/>
        </w:rPr>
        <w:t xml:space="preserve">התרחשו </w:t>
      </w:r>
      <w:r w:rsidR="00462ECE">
        <w:rPr>
          <w:rFonts w:ascii="David" w:hAnsi="David" w:cs="David" w:hint="cs"/>
          <w:sz w:val="24"/>
          <w:szCs w:val="24"/>
          <w:rtl/>
        </w:rPr>
        <w:t xml:space="preserve">בימי מבצע שומר החומות </w:t>
      </w:r>
      <w:r w:rsidRPr="00965D54">
        <w:rPr>
          <w:rFonts w:ascii="David" w:hAnsi="David" w:cs="David" w:hint="cs"/>
          <w:sz w:val="24"/>
          <w:szCs w:val="24"/>
          <w:rtl/>
        </w:rPr>
        <w:t>הובילו לפגיעה קשה מאוד בתח</w:t>
      </w:r>
      <w:r>
        <w:rPr>
          <w:rFonts w:ascii="David" w:hAnsi="David" w:cs="David" w:hint="cs"/>
          <w:sz w:val="24"/>
          <w:szCs w:val="24"/>
          <w:rtl/>
        </w:rPr>
        <w:t>ושת הביטחון האישי של תושבי הנגב.</w:t>
      </w:r>
      <w:r w:rsidRPr="00965D54">
        <w:rPr>
          <w:rFonts w:ascii="David" w:hAnsi="David" w:cs="David" w:hint="cs"/>
          <w:sz w:val="24"/>
          <w:szCs w:val="24"/>
          <w:rtl/>
        </w:rPr>
        <w:t xml:space="preserve"> פגיעה בתחושת הביטחון האישי אשר אותותיה ניכרים עד היום, תוך שעד היום לא שבה תחושת הביט</w:t>
      </w:r>
      <w:r w:rsidR="00A178C5">
        <w:rPr>
          <w:rFonts w:ascii="David" w:hAnsi="David" w:cs="David" w:hint="cs"/>
          <w:sz w:val="24"/>
          <w:szCs w:val="24"/>
          <w:rtl/>
        </w:rPr>
        <w:t>חון האישי של תושבי הנגב לקדמותה.</w:t>
      </w:r>
      <w:r w:rsidR="00462ECE">
        <w:rPr>
          <w:rFonts w:ascii="David" w:hAnsi="David" w:cs="David" w:hint="cs"/>
          <w:sz w:val="24"/>
          <w:szCs w:val="24"/>
          <w:rtl/>
        </w:rPr>
        <w:t xml:space="preserve"> </w:t>
      </w:r>
      <w:r w:rsidRPr="00462ECE">
        <w:rPr>
          <w:rFonts w:ascii="David" w:hAnsi="David" w:cs="David" w:hint="cs"/>
          <w:sz w:val="24"/>
          <w:szCs w:val="24"/>
          <w:rtl/>
        </w:rPr>
        <w:t xml:space="preserve">להקשר הכללי נפקות גם בהבדל שבין התפרעות נקודתית המתרחשת כתוצאה ממחאה כזו או אחרת עת משטרת ישראל וכוחות הביטחון יכולים להקצות כוחות לשם ריסונה או אבטחת הנוסעים בציר, אל מול התפרעות כזו בה נטל חלק הנאשם, בתקופה בה משטרת ישראל וכוחות הביטחון מתוחים עד קצה גבול היכולת ונבצר מהם לתת מענה הולם לכל אחד מהאירועים. </w:t>
      </w:r>
    </w:p>
    <w:p w:rsidR="00C41D1F" w:rsidRPr="00462ECE" w:rsidRDefault="00C41D1F" w:rsidP="00462ECE">
      <w:pPr>
        <w:pStyle w:val="a3"/>
        <w:spacing w:line="360" w:lineRule="auto"/>
        <w:jc w:val="both"/>
        <w:rPr>
          <w:rFonts w:ascii="David" w:hAnsi="David" w:cs="David"/>
          <w:sz w:val="24"/>
          <w:szCs w:val="24"/>
        </w:rPr>
      </w:pPr>
      <w:r w:rsidRPr="00462ECE">
        <w:rPr>
          <w:rFonts w:ascii="David" w:hAnsi="David" w:cs="David" w:hint="cs"/>
          <w:sz w:val="24"/>
          <w:szCs w:val="24"/>
          <w:rtl/>
        </w:rPr>
        <w:t xml:space="preserve">באופן שבו סימן הנאשם לכלי הרכב המתקרבים לעצור, התנהל למעשה באופן הדומה לשוטר העוצר כלי רכב לביקורת בכביש. יש בהתנהלות זו בכדי ללמד על האופן בו ראה הנאשם את המציאות בארץ באותה עת כבמעין אזור הפקר נעדר ריבונות שבו כנופיות של פורעים יכולות לעצור כלי רכב הנעים בליל בכביש בין עירוני, כמעין מחסום ביקורת משטרתי,  המצוי בשליטת אותן כנופיות. </w:t>
      </w:r>
    </w:p>
    <w:p w:rsidR="00C41D1F" w:rsidRDefault="00C41D1F" w:rsidP="004D03D8">
      <w:pPr>
        <w:pStyle w:val="a3"/>
        <w:spacing w:line="360" w:lineRule="auto"/>
        <w:jc w:val="both"/>
        <w:rPr>
          <w:rFonts w:ascii="David" w:hAnsi="David" w:cs="David"/>
          <w:sz w:val="24"/>
          <w:szCs w:val="24"/>
        </w:rPr>
      </w:pPr>
      <w:r>
        <w:rPr>
          <w:rFonts w:ascii="David" w:hAnsi="David" w:cs="David" w:hint="cs"/>
          <w:sz w:val="24"/>
          <w:szCs w:val="24"/>
          <w:rtl/>
        </w:rPr>
        <w:t xml:space="preserve">מקום בו החשש מהישנות התפרעויות והפרות סדר שכאלו, ככל שמדינת ישראל תיקלע שוב לתקופת לחימה, אינו חשש מבוטל, הרי שיש מקום, בגדר שיקולי הענישה בתוך המתחם, לתת משקל של ממש לשיקולי הרתעת הרבים, על מנת להעביר מסר חד משמעי </w:t>
      </w:r>
      <w:r>
        <w:rPr>
          <w:rFonts w:ascii="David" w:hAnsi="David" w:cs="David" w:hint="cs"/>
          <w:sz w:val="24"/>
          <w:szCs w:val="24"/>
          <w:rtl/>
        </w:rPr>
        <w:lastRenderedPageBreak/>
        <w:t xml:space="preserve">לציבור הרחב שאולי יהא בו בכדי להרתיע פורעים פוטנציאליים, לבל יהינו ליטול חלק באירועים דומים בעתיד. </w:t>
      </w:r>
    </w:p>
    <w:p w:rsidR="00C41D1F" w:rsidRPr="00A67701" w:rsidRDefault="00C41D1F" w:rsidP="00C41D1F">
      <w:pPr>
        <w:pStyle w:val="a3"/>
        <w:rPr>
          <w:rFonts w:ascii="David" w:hAnsi="David" w:cs="David"/>
          <w:sz w:val="24"/>
          <w:szCs w:val="24"/>
          <w:rtl/>
        </w:rPr>
      </w:pPr>
    </w:p>
    <w:p w:rsidR="00C41D1F" w:rsidRDefault="00C41D1F" w:rsidP="004D03D8">
      <w:pPr>
        <w:pStyle w:val="a3"/>
        <w:spacing w:line="360" w:lineRule="auto"/>
        <w:jc w:val="both"/>
        <w:rPr>
          <w:rFonts w:ascii="David" w:hAnsi="David" w:cs="David"/>
          <w:sz w:val="24"/>
          <w:szCs w:val="24"/>
        </w:rPr>
      </w:pPr>
      <w:r>
        <w:rPr>
          <w:rFonts w:ascii="David" w:hAnsi="David" w:cs="David" w:hint="cs"/>
          <w:sz w:val="24"/>
          <w:szCs w:val="24"/>
          <w:rtl/>
        </w:rPr>
        <w:t xml:space="preserve">לקולת הנאשם </w:t>
      </w:r>
      <w:r w:rsidR="004D03D8">
        <w:rPr>
          <w:rFonts w:ascii="David" w:hAnsi="David" w:cs="David" w:hint="cs"/>
          <w:sz w:val="24"/>
          <w:szCs w:val="24"/>
          <w:rtl/>
        </w:rPr>
        <w:t>ניתן</w:t>
      </w:r>
      <w:r>
        <w:rPr>
          <w:rFonts w:ascii="David" w:hAnsi="David" w:cs="David" w:hint="cs"/>
          <w:sz w:val="24"/>
          <w:szCs w:val="24"/>
          <w:rtl/>
        </w:rPr>
        <w:t xml:space="preserve"> משקל לגילו הצעיר בעת ב</w:t>
      </w:r>
      <w:r w:rsidR="00A178C5">
        <w:rPr>
          <w:rFonts w:ascii="David" w:hAnsi="David" w:cs="David" w:hint="cs"/>
          <w:sz w:val="24"/>
          <w:szCs w:val="24"/>
          <w:rtl/>
        </w:rPr>
        <w:t>יצוע העבירות (פחות מ- 19 שנים)</w:t>
      </w:r>
      <w:r w:rsidRPr="00A178C5">
        <w:rPr>
          <w:rFonts w:ascii="David" w:hAnsi="David" w:cs="David" w:hint="cs"/>
          <w:sz w:val="24"/>
          <w:szCs w:val="24"/>
          <w:rtl/>
        </w:rPr>
        <w:t>, נתתי משקל לכך שהנאשם נעדר הרשעות קודמות</w:t>
      </w:r>
      <w:r w:rsidR="00A178C5">
        <w:rPr>
          <w:rFonts w:ascii="David" w:hAnsi="David" w:cs="David" w:hint="cs"/>
          <w:sz w:val="24"/>
          <w:szCs w:val="24"/>
          <w:rtl/>
        </w:rPr>
        <w:t xml:space="preserve"> ו</w:t>
      </w:r>
      <w:r w:rsidRPr="00A178C5">
        <w:rPr>
          <w:rFonts w:ascii="David" w:hAnsi="David" w:cs="David" w:hint="cs"/>
          <w:sz w:val="24"/>
          <w:szCs w:val="24"/>
          <w:rtl/>
        </w:rPr>
        <w:t xml:space="preserve">לנסיבותיו האישיות כנלמד מהתסקיר. </w:t>
      </w:r>
    </w:p>
    <w:p w:rsidR="00A178C5" w:rsidRPr="00A178C5" w:rsidRDefault="00A178C5" w:rsidP="00A178C5">
      <w:pPr>
        <w:pStyle w:val="a3"/>
        <w:rPr>
          <w:rFonts w:ascii="David" w:hAnsi="David" w:cs="David"/>
          <w:sz w:val="24"/>
          <w:szCs w:val="24"/>
          <w:rtl/>
        </w:rPr>
      </w:pPr>
    </w:p>
    <w:p w:rsidR="00A178C5" w:rsidRPr="00A178C5" w:rsidRDefault="00A178C5" w:rsidP="00A178C5">
      <w:pPr>
        <w:pStyle w:val="a3"/>
        <w:spacing w:line="360" w:lineRule="auto"/>
        <w:jc w:val="both"/>
        <w:rPr>
          <w:rFonts w:ascii="David" w:hAnsi="David" w:cs="David"/>
          <w:sz w:val="24"/>
          <w:szCs w:val="24"/>
          <w:rtl/>
        </w:rPr>
      </w:pPr>
    </w:p>
    <w:p w:rsidR="00C41D1F" w:rsidRDefault="00C41D1F" w:rsidP="004D03D8">
      <w:pPr>
        <w:pStyle w:val="a3"/>
        <w:spacing w:line="360" w:lineRule="auto"/>
        <w:jc w:val="both"/>
        <w:rPr>
          <w:rFonts w:ascii="David" w:hAnsi="David" w:cs="David"/>
          <w:sz w:val="24"/>
          <w:szCs w:val="24"/>
        </w:rPr>
      </w:pPr>
      <w:r>
        <w:rPr>
          <w:rFonts w:ascii="David" w:hAnsi="David" w:cs="David" w:hint="cs"/>
          <w:sz w:val="24"/>
          <w:szCs w:val="24"/>
          <w:rtl/>
        </w:rPr>
        <w:t xml:space="preserve">לאור האמור לעיל, </w:t>
      </w:r>
      <w:r w:rsidR="004D03D8">
        <w:rPr>
          <w:rFonts w:ascii="David" w:hAnsi="David" w:cs="David" w:hint="cs"/>
          <w:sz w:val="24"/>
          <w:szCs w:val="24"/>
          <w:rtl/>
        </w:rPr>
        <w:t>נדון</w:t>
      </w:r>
      <w:r>
        <w:rPr>
          <w:rFonts w:ascii="David" w:hAnsi="David" w:cs="David" w:hint="cs"/>
          <w:sz w:val="24"/>
          <w:szCs w:val="24"/>
          <w:rtl/>
        </w:rPr>
        <w:t xml:space="preserve"> הנאשם לעונשים הבאים: </w:t>
      </w:r>
    </w:p>
    <w:p w:rsidR="00C41D1F" w:rsidRPr="00E44ABB" w:rsidRDefault="00C41D1F" w:rsidP="00C41D1F">
      <w:pPr>
        <w:pStyle w:val="a3"/>
        <w:rPr>
          <w:rFonts w:ascii="David" w:hAnsi="David" w:cs="David"/>
          <w:sz w:val="24"/>
          <w:szCs w:val="24"/>
          <w:rtl/>
        </w:rPr>
      </w:pPr>
    </w:p>
    <w:p w:rsidR="00C41D1F" w:rsidRDefault="00C41D1F" w:rsidP="00C41D1F">
      <w:pPr>
        <w:pStyle w:val="a3"/>
        <w:numPr>
          <w:ilvl w:val="0"/>
          <w:numId w:val="2"/>
        </w:numPr>
        <w:spacing w:line="360" w:lineRule="auto"/>
        <w:jc w:val="both"/>
        <w:rPr>
          <w:rFonts w:ascii="David" w:hAnsi="David" w:cs="David"/>
          <w:sz w:val="24"/>
          <w:szCs w:val="24"/>
        </w:rPr>
      </w:pPr>
      <w:r>
        <w:rPr>
          <w:rFonts w:ascii="David" w:hAnsi="David" w:cs="David" w:hint="cs"/>
          <w:sz w:val="24"/>
          <w:szCs w:val="24"/>
          <w:rtl/>
        </w:rPr>
        <w:t>38 חודשי מאסר בפועל בניכוי ימי מעצרו בגין תיק זה בלבד, על פי רישומי שב"ס.</w:t>
      </w:r>
    </w:p>
    <w:p w:rsidR="00C41D1F" w:rsidRDefault="00C41D1F" w:rsidP="00C41D1F">
      <w:pPr>
        <w:pStyle w:val="a3"/>
        <w:spacing w:line="360" w:lineRule="auto"/>
        <w:ind w:left="1080"/>
        <w:jc w:val="both"/>
        <w:rPr>
          <w:rFonts w:ascii="David" w:hAnsi="David" w:cs="David"/>
          <w:sz w:val="24"/>
          <w:szCs w:val="24"/>
        </w:rPr>
      </w:pPr>
    </w:p>
    <w:p w:rsidR="00C41D1F" w:rsidRDefault="00C41D1F" w:rsidP="00C41D1F">
      <w:pPr>
        <w:pStyle w:val="a3"/>
        <w:numPr>
          <w:ilvl w:val="0"/>
          <w:numId w:val="2"/>
        </w:numPr>
        <w:spacing w:line="360" w:lineRule="auto"/>
        <w:jc w:val="both"/>
        <w:rPr>
          <w:rFonts w:ascii="David" w:hAnsi="David" w:cs="David"/>
          <w:sz w:val="24"/>
          <w:szCs w:val="24"/>
        </w:rPr>
      </w:pPr>
      <w:r>
        <w:rPr>
          <w:rFonts w:ascii="David" w:hAnsi="David" w:cs="David" w:hint="cs"/>
          <w:sz w:val="24"/>
          <w:szCs w:val="24"/>
          <w:rtl/>
        </w:rPr>
        <w:t xml:space="preserve">12 חודשי מאסר וזאת על תנאי שלא יעבור משך 3 שנים מיום שחרורו ממאסרו, כל עבירת התפרעות ו/או יידוי או ירי של אבן או חפץ אחר לעבר כלי תחבורה ו/או כל עבירת אלימות מסוג פשע. </w:t>
      </w:r>
    </w:p>
    <w:p w:rsidR="00C41D1F" w:rsidRPr="000A7FCB" w:rsidRDefault="00C41D1F" w:rsidP="00C41D1F">
      <w:pPr>
        <w:pStyle w:val="a3"/>
        <w:rPr>
          <w:rFonts w:ascii="David" w:hAnsi="David" w:cs="David"/>
          <w:sz w:val="24"/>
          <w:szCs w:val="24"/>
          <w:rtl/>
        </w:rPr>
      </w:pPr>
    </w:p>
    <w:p w:rsidR="00C41D1F" w:rsidRPr="000A7FCB" w:rsidRDefault="00C41D1F" w:rsidP="00C41D1F">
      <w:pPr>
        <w:pStyle w:val="a3"/>
        <w:spacing w:line="360" w:lineRule="auto"/>
        <w:ind w:left="1080"/>
        <w:jc w:val="both"/>
        <w:rPr>
          <w:rFonts w:ascii="David" w:hAnsi="David" w:cs="David"/>
          <w:sz w:val="24"/>
          <w:szCs w:val="24"/>
        </w:rPr>
      </w:pPr>
    </w:p>
    <w:p w:rsidR="00C41D1F" w:rsidRDefault="00C41D1F" w:rsidP="00C41D1F">
      <w:pPr>
        <w:pStyle w:val="a3"/>
        <w:numPr>
          <w:ilvl w:val="0"/>
          <w:numId w:val="2"/>
        </w:numPr>
        <w:spacing w:line="360" w:lineRule="auto"/>
        <w:jc w:val="both"/>
        <w:rPr>
          <w:rFonts w:ascii="David" w:hAnsi="David" w:cs="David"/>
          <w:sz w:val="24"/>
          <w:szCs w:val="24"/>
        </w:rPr>
      </w:pPr>
      <w:r>
        <w:rPr>
          <w:rFonts w:ascii="David" w:hAnsi="David" w:cs="David" w:hint="cs"/>
          <w:sz w:val="24"/>
          <w:szCs w:val="24"/>
          <w:rtl/>
        </w:rPr>
        <w:t xml:space="preserve">6 חודשי מאסר וזאת על תנאי שלא יעבור משך 3 שנים מיום שחרורו ממאסרו כל עבירה של הפרעה לשוטר בשעת מילוי תפקידו ו/או כל עבירת אלימות מסוג עוון. </w:t>
      </w:r>
    </w:p>
    <w:p w:rsidR="00C41D1F" w:rsidRDefault="00C41D1F" w:rsidP="00C41D1F">
      <w:pPr>
        <w:pStyle w:val="a3"/>
        <w:spacing w:line="360" w:lineRule="auto"/>
        <w:ind w:left="1080"/>
        <w:jc w:val="both"/>
        <w:rPr>
          <w:rFonts w:ascii="David" w:hAnsi="David" w:cs="David"/>
          <w:sz w:val="24"/>
          <w:szCs w:val="24"/>
        </w:rPr>
      </w:pPr>
    </w:p>
    <w:p w:rsidR="00C41D1F" w:rsidRDefault="00C41D1F" w:rsidP="00C41D1F">
      <w:pPr>
        <w:pStyle w:val="a3"/>
        <w:numPr>
          <w:ilvl w:val="0"/>
          <w:numId w:val="2"/>
        </w:numPr>
        <w:spacing w:line="360" w:lineRule="auto"/>
        <w:jc w:val="both"/>
        <w:rPr>
          <w:rFonts w:ascii="David" w:hAnsi="David" w:cs="David"/>
          <w:sz w:val="24"/>
          <w:szCs w:val="24"/>
        </w:rPr>
      </w:pPr>
      <w:r w:rsidRPr="00E44ABB">
        <w:rPr>
          <w:rFonts w:ascii="David" w:eastAsia="Times New Roman" w:hAnsi="David" w:cs="David"/>
          <w:sz w:val="24"/>
          <w:szCs w:val="24"/>
          <w:rtl/>
        </w:rPr>
        <w:t xml:space="preserve">קנס בסך </w:t>
      </w:r>
      <w:r>
        <w:rPr>
          <w:rFonts w:ascii="David" w:eastAsia="Times New Roman" w:hAnsi="David" w:cs="David" w:hint="cs"/>
          <w:sz w:val="24"/>
          <w:szCs w:val="24"/>
          <w:rtl/>
        </w:rPr>
        <w:t>8</w:t>
      </w:r>
      <w:r w:rsidRPr="00E44ABB">
        <w:rPr>
          <w:rFonts w:ascii="David" w:eastAsia="Times New Roman" w:hAnsi="David" w:cs="David"/>
          <w:sz w:val="24"/>
          <w:szCs w:val="24"/>
          <w:rtl/>
        </w:rPr>
        <w:t>,</w:t>
      </w:r>
      <w:r>
        <w:rPr>
          <w:rFonts w:ascii="David" w:eastAsia="Times New Roman" w:hAnsi="David" w:cs="David" w:hint="cs"/>
          <w:sz w:val="24"/>
          <w:szCs w:val="24"/>
          <w:rtl/>
        </w:rPr>
        <w:t>500</w:t>
      </w:r>
      <w:r w:rsidRPr="00E44ABB">
        <w:rPr>
          <w:rFonts w:ascii="David" w:eastAsia="Times New Roman" w:hAnsi="David" w:cs="David"/>
          <w:sz w:val="24"/>
          <w:szCs w:val="24"/>
          <w:rtl/>
        </w:rPr>
        <w:t xml:space="preserve"> ₪  או </w:t>
      </w:r>
      <w:r>
        <w:rPr>
          <w:rFonts w:ascii="David" w:eastAsia="Times New Roman" w:hAnsi="David" w:cs="David" w:hint="cs"/>
          <w:sz w:val="24"/>
          <w:szCs w:val="24"/>
          <w:rtl/>
        </w:rPr>
        <w:t>45</w:t>
      </w:r>
      <w:r w:rsidRPr="00E44ABB">
        <w:rPr>
          <w:rFonts w:ascii="David" w:eastAsia="Times New Roman" w:hAnsi="David" w:cs="David"/>
          <w:sz w:val="24"/>
          <w:szCs w:val="24"/>
          <w:rtl/>
        </w:rPr>
        <w:t xml:space="preserve">  ימי מאסר תמורתו. הקנס ישולם ב- </w:t>
      </w:r>
      <w:r>
        <w:rPr>
          <w:rFonts w:ascii="David" w:eastAsia="Times New Roman" w:hAnsi="David" w:cs="David" w:hint="cs"/>
          <w:sz w:val="24"/>
          <w:szCs w:val="24"/>
          <w:rtl/>
        </w:rPr>
        <w:t>10</w:t>
      </w:r>
      <w:r w:rsidRPr="00E44ABB">
        <w:rPr>
          <w:rFonts w:ascii="David" w:eastAsia="Times New Roman" w:hAnsi="David" w:cs="David"/>
          <w:sz w:val="24"/>
          <w:szCs w:val="24"/>
          <w:rtl/>
        </w:rPr>
        <w:t xml:space="preserve"> תשלומים חודשיים שווים ורצופים החל מיום 1.</w:t>
      </w:r>
      <w:r>
        <w:rPr>
          <w:rFonts w:ascii="David" w:eastAsia="Times New Roman" w:hAnsi="David" w:cs="David" w:hint="cs"/>
          <w:sz w:val="24"/>
          <w:szCs w:val="24"/>
          <w:rtl/>
        </w:rPr>
        <w:t>10</w:t>
      </w:r>
      <w:r w:rsidRPr="00E44ABB">
        <w:rPr>
          <w:rFonts w:ascii="David" w:eastAsia="Times New Roman" w:hAnsi="David" w:cs="David"/>
          <w:sz w:val="24"/>
          <w:szCs w:val="24"/>
          <w:rtl/>
        </w:rPr>
        <w:t>.</w:t>
      </w:r>
      <w:r>
        <w:rPr>
          <w:rFonts w:ascii="David" w:eastAsia="Times New Roman" w:hAnsi="David" w:cs="David" w:hint="cs"/>
          <w:sz w:val="24"/>
          <w:szCs w:val="24"/>
          <w:rtl/>
        </w:rPr>
        <w:t>23</w:t>
      </w:r>
      <w:r w:rsidRPr="00E44ABB">
        <w:rPr>
          <w:rFonts w:ascii="David" w:eastAsia="Times New Roman" w:hAnsi="David" w:cs="David"/>
          <w:sz w:val="24"/>
          <w:szCs w:val="24"/>
          <w:rtl/>
        </w:rPr>
        <w:t xml:space="preserve"> , ובכל (1) בחודש שלאחריו. לא יעמוד הנאשם באחד מן השיעורים במועדו, תעמוד יתרת הקנס לפירעון מידי,  ומובהרות לנאשם הוראות החוק ביחס לאפשרות החיוב בתוספת הפיגורים כמו גם </w:t>
      </w:r>
      <w:r>
        <w:rPr>
          <w:rFonts w:ascii="David" w:eastAsia="Times New Roman" w:hAnsi="David" w:cs="David" w:hint="cs"/>
          <w:sz w:val="24"/>
          <w:szCs w:val="24"/>
          <w:rtl/>
        </w:rPr>
        <w:t xml:space="preserve">אפשרות </w:t>
      </w:r>
      <w:r w:rsidRPr="00E44ABB">
        <w:rPr>
          <w:rFonts w:ascii="David" w:eastAsia="Times New Roman" w:hAnsi="David" w:cs="David"/>
          <w:sz w:val="24"/>
          <w:szCs w:val="24"/>
          <w:rtl/>
        </w:rPr>
        <w:t>הפעלת המאסר חלף הקנס.</w:t>
      </w:r>
    </w:p>
    <w:p w:rsidR="009F435A" w:rsidRPr="009F435A" w:rsidRDefault="009F435A" w:rsidP="009F435A">
      <w:pPr>
        <w:pStyle w:val="a3"/>
        <w:rPr>
          <w:rFonts w:ascii="David" w:hAnsi="David" w:cs="David"/>
          <w:sz w:val="24"/>
          <w:szCs w:val="24"/>
          <w:rtl/>
        </w:rPr>
      </w:pPr>
    </w:p>
    <w:p w:rsidR="009F435A" w:rsidRDefault="009F435A" w:rsidP="009F435A">
      <w:pPr>
        <w:pStyle w:val="a3"/>
        <w:spacing w:line="360" w:lineRule="auto"/>
        <w:ind w:left="1080"/>
        <w:jc w:val="both"/>
        <w:rPr>
          <w:rFonts w:ascii="David" w:hAnsi="David" w:cs="David"/>
          <w:sz w:val="24"/>
          <w:szCs w:val="24"/>
          <w:rtl/>
        </w:rPr>
      </w:pPr>
    </w:p>
    <w:p w:rsidR="009F435A" w:rsidRPr="009472D1" w:rsidRDefault="009F435A" w:rsidP="009F435A">
      <w:pPr>
        <w:spacing w:after="120" w:line="360" w:lineRule="auto"/>
        <w:jc w:val="center"/>
        <w:rPr>
          <w:rFonts w:ascii="FrankRuehl" w:hAnsi="FrankRuehl" w:cs="FrankRuehl"/>
          <w:b/>
          <w:bCs/>
          <w:color w:val="323E4F" w:themeColor="text2" w:themeShade="BF"/>
          <w:sz w:val="26"/>
          <w:szCs w:val="26"/>
          <w:rtl/>
        </w:rPr>
      </w:pPr>
      <w:r w:rsidRPr="009F00A1">
        <w:rPr>
          <w:rFonts w:ascii="FrankRuehl" w:hAnsi="FrankRuehl" w:cs="FrankRuehl" w:hint="cs"/>
          <w:b/>
          <w:bCs/>
          <w:color w:val="323E4F" w:themeColor="text2" w:themeShade="BF"/>
          <w:sz w:val="26"/>
          <w:szCs w:val="26"/>
          <w:rtl/>
        </w:rPr>
        <w:t>***</w:t>
      </w:r>
      <w:r>
        <w:rPr>
          <w:rFonts w:ascii="FrankRuehl" w:hAnsi="FrankRuehl" w:cs="FrankRuehl" w:hint="cs"/>
          <w:b/>
          <w:bCs/>
          <w:color w:val="323E4F" w:themeColor="text2" w:themeShade="BF"/>
          <w:sz w:val="26"/>
          <w:szCs w:val="26"/>
          <w:rtl/>
        </w:rPr>
        <w:t xml:space="preserve"> </w:t>
      </w:r>
      <w:r w:rsidRPr="009F00A1">
        <w:rPr>
          <w:rFonts w:ascii="FrankRuehl" w:hAnsi="FrankRuehl" w:cs="FrankRuehl"/>
          <w:b/>
          <w:bCs/>
          <w:color w:val="323E4F" w:themeColor="text2" w:themeShade="BF"/>
          <w:sz w:val="26"/>
          <w:szCs w:val="26"/>
          <w:rtl/>
        </w:rPr>
        <w:t>התקציר אינו בא להחליף את פסק</w:t>
      </w:r>
      <w:r w:rsidRPr="009F00A1">
        <w:rPr>
          <w:rFonts w:ascii="FrankRuehl" w:hAnsi="FrankRuehl" w:cs="FrankRuehl" w:hint="cs"/>
          <w:b/>
          <w:bCs/>
          <w:color w:val="323E4F" w:themeColor="text2" w:themeShade="BF"/>
          <w:sz w:val="26"/>
          <w:szCs w:val="26"/>
          <w:rtl/>
        </w:rPr>
        <w:t>-</w:t>
      </w:r>
      <w:r w:rsidRPr="009F00A1">
        <w:rPr>
          <w:rFonts w:ascii="FrankRuehl" w:hAnsi="FrankRuehl" w:cs="FrankRuehl"/>
          <w:b/>
          <w:bCs/>
          <w:color w:val="323E4F" w:themeColor="text2" w:themeShade="BF"/>
          <w:sz w:val="26"/>
          <w:szCs w:val="26"/>
          <w:rtl/>
        </w:rPr>
        <w:t>הדין, הנוסח המחייב הוא זה של פסק-הדין המלא</w:t>
      </w:r>
      <w:r>
        <w:rPr>
          <w:rFonts w:ascii="FrankRuehl" w:hAnsi="FrankRuehl" w:cs="FrankRuehl" w:hint="cs"/>
          <w:b/>
          <w:bCs/>
          <w:color w:val="323E4F" w:themeColor="text2" w:themeShade="BF"/>
          <w:sz w:val="26"/>
          <w:szCs w:val="26"/>
          <w:rtl/>
        </w:rPr>
        <w:t xml:space="preserve"> </w:t>
      </w:r>
      <w:r w:rsidRPr="009F00A1">
        <w:rPr>
          <w:rFonts w:ascii="FrankRuehl" w:hAnsi="FrankRuehl" w:cs="FrankRuehl" w:hint="cs"/>
          <w:b/>
          <w:bCs/>
          <w:color w:val="323E4F" w:themeColor="text2" w:themeShade="BF"/>
          <w:sz w:val="26"/>
          <w:szCs w:val="26"/>
          <w:rtl/>
        </w:rPr>
        <w:t>***</w:t>
      </w:r>
    </w:p>
    <w:p w:rsidR="009F435A" w:rsidRPr="00E44ABB" w:rsidRDefault="009F435A" w:rsidP="009F435A">
      <w:pPr>
        <w:pStyle w:val="a3"/>
        <w:spacing w:line="360" w:lineRule="auto"/>
        <w:ind w:left="1080"/>
        <w:jc w:val="both"/>
        <w:rPr>
          <w:rFonts w:ascii="David" w:hAnsi="David" w:cs="David"/>
          <w:sz w:val="24"/>
          <w:szCs w:val="24"/>
        </w:rPr>
      </w:pPr>
    </w:p>
    <w:p w:rsidR="00C41D1F" w:rsidRPr="00E44ABB" w:rsidRDefault="00C41D1F" w:rsidP="00C41D1F">
      <w:pPr>
        <w:pStyle w:val="a3"/>
        <w:rPr>
          <w:rFonts w:ascii="David" w:hAnsi="David" w:cs="David"/>
          <w:sz w:val="24"/>
          <w:szCs w:val="24"/>
          <w:rtl/>
        </w:rPr>
      </w:pPr>
    </w:p>
    <w:p w:rsidR="00C41D1F" w:rsidRPr="00551AE3" w:rsidRDefault="00C41D1F" w:rsidP="00C41D1F">
      <w:pPr>
        <w:spacing w:line="360" w:lineRule="auto"/>
        <w:jc w:val="both"/>
        <w:rPr>
          <w:rFonts w:ascii="David" w:hAnsi="David" w:cs="David"/>
          <w:sz w:val="24"/>
          <w:szCs w:val="24"/>
        </w:rPr>
      </w:pPr>
    </w:p>
    <w:p w:rsidR="00D8067F" w:rsidRPr="00C41D1F" w:rsidRDefault="00D8067F"/>
    <w:sectPr w:rsidR="00D8067F" w:rsidRPr="00C41D1F" w:rsidSect="00F81201">
      <w:headerReference w:type="default" r:id="rId7"/>
      <w:footerReference w:type="default" r:id="rId8"/>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3FC1" w:rsidRDefault="007B3FC1" w:rsidP="00AF5959">
      <w:pPr>
        <w:spacing w:after="0" w:line="240" w:lineRule="auto"/>
      </w:pPr>
      <w:r>
        <w:separator/>
      </w:r>
    </w:p>
  </w:endnote>
  <w:endnote w:type="continuationSeparator" w:id="0">
    <w:p w:rsidR="007B3FC1" w:rsidRDefault="007B3FC1" w:rsidP="00AF59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35A" w:rsidRPr="003C61AF" w:rsidRDefault="009F435A" w:rsidP="009F435A">
    <w:pPr>
      <w:tabs>
        <w:tab w:val="center" w:pos="4153"/>
        <w:tab w:val="right" w:pos="8306"/>
      </w:tabs>
      <w:spacing w:after="0" w:line="240" w:lineRule="auto"/>
      <w:rPr>
        <w:rFonts w:ascii="Times New Roman" w:eastAsia="Times New Roman" w:hAnsi="Times New Roman" w:cs="FrankRuehl"/>
        <w:b/>
        <w:bCs/>
        <w:color w:val="000080"/>
        <w:spacing w:val="6"/>
        <w:sz w:val="24"/>
        <w:szCs w:val="24"/>
        <w:rtl/>
      </w:rPr>
    </w:pPr>
    <w:r w:rsidRPr="003C61AF">
      <w:rPr>
        <w:rFonts w:ascii="Times New Roman" w:eastAsia="Times New Roman" w:hAnsi="Times New Roman" w:cs="FrankRuehl"/>
        <w:b/>
        <w:bCs/>
        <w:color w:val="000080"/>
        <w:spacing w:val="6"/>
        <w:sz w:val="24"/>
        <w:szCs w:val="24"/>
        <w:rtl/>
      </w:rPr>
      <w:t>________________________________________________________________</w:t>
    </w:r>
  </w:p>
  <w:p w:rsidR="009F435A" w:rsidRPr="003C61AF" w:rsidRDefault="009F435A" w:rsidP="009F435A">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sidRPr="003C61AF">
      <w:rPr>
        <w:rFonts w:ascii="Times New Roman" w:eastAsia="Times New Roman" w:hAnsi="Times New Roman" w:cs="FrankRuehl" w:hint="cs"/>
        <w:b/>
        <w:bCs/>
        <w:color w:val="000080"/>
        <w:spacing w:val="6"/>
        <w:sz w:val="24"/>
        <w:szCs w:val="24"/>
        <w:rtl/>
      </w:rPr>
      <w:t>בית משפט העליון</w:t>
    </w:r>
    <w:r>
      <w:rPr>
        <w:rFonts w:ascii="Times New Roman" w:eastAsia="Times New Roman" w:hAnsi="Times New Roman" w:cs="FrankRuehl" w:hint="cs"/>
        <w:b/>
        <w:bCs/>
        <w:color w:val="000080"/>
        <w:spacing w:val="6"/>
        <w:sz w:val="24"/>
        <w:szCs w:val="24"/>
        <w:rtl/>
      </w:rPr>
      <w:t>,</w:t>
    </w:r>
    <w:r w:rsidRPr="003C61AF">
      <w:rPr>
        <w:rFonts w:ascii="Times New Roman" w:eastAsia="Times New Roman" w:hAnsi="Times New Roman" w:cs="FrankRuehl" w:hint="cs"/>
        <w:b/>
        <w:bCs/>
        <w:color w:val="000080"/>
        <w:spacing w:val="6"/>
        <w:sz w:val="24"/>
        <w:szCs w:val="24"/>
        <w:rtl/>
      </w:rPr>
      <w:t xml:space="preserve"> </w:t>
    </w:r>
    <w:r>
      <w:rPr>
        <w:rFonts w:ascii="Times New Roman" w:eastAsia="Times New Roman" w:hAnsi="Times New Roman" w:cs="FrankRuehl" w:hint="cs"/>
        <w:b/>
        <w:bCs/>
        <w:color w:val="000080"/>
        <w:spacing w:val="6"/>
        <w:sz w:val="24"/>
        <w:szCs w:val="24"/>
        <w:rtl/>
      </w:rPr>
      <w:t>דרך השופט</w:t>
    </w:r>
    <w:r w:rsidRPr="003C61AF">
      <w:rPr>
        <w:rFonts w:ascii="Times New Roman" w:eastAsia="Times New Roman" w:hAnsi="Times New Roman" w:cs="FrankRuehl" w:hint="cs"/>
        <w:b/>
        <w:bCs/>
        <w:color w:val="000080"/>
        <w:spacing w:val="6"/>
        <w:sz w:val="24"/>
        <w:szCs w:val="24"/>
        <w:rtl/>
      </w:rPr>
      <w:t xml:space="preserve"> </w:t>
    </w:r>
    <w:r>
      <w:rPr>
        <w:rFonts w:ascii="Times New Roman" w:eastAsia="Times New Roman" w:hAnsi="Times New Roman" w:cs="FrankRuehl" w:hint="cs"/>
        <w:b/>
        <w:bCs/>
        <w:color w:val="000080"/>
        <w:spacing w:val="6"/>
        <w:sz w:val="24"/>
        <w:szCs w:val="24"/>
        <w:rtl/>
      </w:rPr>
      <w:t>מאיר שמגר</w:t>
    </w:r>
    <w:r w:rsidRPr="003C61AF">
      <w:rPr>
        <w:rFonts w:ascii="Times New Roman" w:eastAsia="Times New Roman" w:hAnsi="Times New Roman" w:cs="FrankRuehl" w:hint="cs"/>
        <w:b/>
        <w:bCs/>
        <w:color w:val="000080"/>
        <w:spacing w:val="6"/>
        <w:sz w:val="24"/>
        <w:szCs w:val="24"/>
        <w:rtl/>
      </w:rPr>
      <w:t>, ירושלים</w:t>
    </w:r>
  </w:p>
  <w:p w:rsidR="009F435A" w:rsidRPr="003C61AF" w:rsidRDefault="009F435A" w:rsidP="009F435A">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Pr>
    </w:pPr>
    <w:r w:rsidRPr="003C61AF">
      <w:rPr>
        <w:rFonts w:ascii="Times New Roman" w:eastAsia="Times New Roman" w:hAnsi="Times New Roman" w:cs="FrankRuehl" w:hint="cs"/>
        <w:b/>
        <w:bCs/>
        <w:color w:val="000080"/>
        <w:spacing w:val="6"/>
        <w:sz w:val="24"/>
        <w:szCs w:val="24"/>
        <w:rtl/>
      </w:rPr>
      <w:t xml:space="preserve">טל: </w:t>
    </w:r>
    <w:r w:rsidRPr="003C61AF">
      <w:rPr>
        <w:rFonts w:ascii="Times New Roman" w:eastAsia="Times New Roman" w:hAnsi="Times New Roman" w:cs="FrankRuehl"/>
        <w:b/>
        <w:bCs/>
        <w:color w:val="000080"/>
        <w:spacing w:val="6"/>
        <w:sz w:val="24"/>
        <w:szCs w:val="24"/>
      </w:rPr>
      <w:t>074-7480412</w:t>
    </w:r>
    <w:r w:rsidRPr="003C61AF">
      <w:rPr>
        <w:rFonts w:ascii="Times New Roman" w:eastAsia="Times New Roman" w:hAnsi="Times New Roman" w:cs="FrankRuehl" w:hint="cs"/>
        <w:b/>
        <w:bCs/>
        <w:color w:val="000080"/>
        <w:spacing w:val="6"/>
        <w:sz w:val="24"/>
        <w:szCs w:val="24"/>
        <w:rtl/>
      </w:rPr>
      <w:t xml:space="preserve">                דוא"ל</w:t>
    </w:r>
    <w:r w:rsidRPr="003C61AF">
      <w:rPr>
        <w:rFonts w:ascii="Times New Roman" w:eastAsia="Times New Roman" w:hAnsi="Times New Roman" w:cs="FrankRuehl"/>
        <w:b/>
        <w:bCs/>
        <w:color w:val="000080"/>
        <w:spacing w:val="6"/>
        <w:sz w:val="24"/>
        <w:szCs w:val="24"/>
      </w:rPr>
      <w:t>:</w:t>
    </w:r>
    <w:r w:rsidRPr="003C61AF">
      <w:rPr>
        <w:rFonts w:ascii="Times New Roman" w:eastAsia="Times New Roman" w:hAnsi="Times New Roman" w:cs="FrankRuehl" w:hint="cs"/>
        <w:b/>
        <w:bCs/>
        <w:color w:val="000080"/>
        <w:spacing w:val="6"/>
        <w:sz w:val="24"/>
        <w:szCs w:val="24"/>
        <w:rtl/>
      </w:rPr>
      <w:t xml:space="preserve">  </w:t>
    </w:r>
    <w:hyperlink r:id="rId1" w:history="1">
      <w:r w:rsidRPr="003C61AF">
        <w:rPr>
          <w:rFonts w:ascii="Times New Roman" w:eastAsia="Times New Roman" w:hAnsi="Times New Roman" w:cs="FrankRuehl"/>
          <w:b/>
          <w:bCs/>
          <w:color w:val="0000FF"/>
          <w:spacing w:val="6"/>
          <w:sz w:val="24"/>
          <w:szCs w:val="24"/>
          <w:u w:val="single"/>
        </w:rPr>
        <w:t>Dover@court.gov.il</w:t>
      </w:r>
    </w:hyperlink>
  </w:p>
  <w:p w:rsidR="009F435A" w:rsidRPr="009F435A" w:rsidRDefault="009F435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3FC1" w:rsidRDefault="007B3FC1" w:rsidP="00AF5959">
      <w:pPr>
        <w:spacing w:after="0" w:line="240" w:lineRule="auto"/>
      </w:pPr>
      <w:r>
        <w:separator/>
      </w:r>
    </w:p>
  </w:footnote>
  <w:footnote w:type="continuationSeparator" w:id="0">
    <w:p w:rsidR="007B3FC1" w:rsidRDefault="007B3FC1" w:rsidP="00AF59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5959" w:rsidRDefault="00AF5959" w:rsidP="00AF5959">
    <w:pPr>
      <w:pStyle w:val="a4"/>
      <w:jc w:val="center"/>
      <w:rPr>
        <w:rFonts w:cs="FrankRuehl"/>
        <w:sz w:val="28"/>
        <w:szCs w:val="28"/>
        <w:rtl/>
      </w:rPr>
    </w:pPr>
    <w:r>
      <w:rPr>
        <w:rFonts w:cs="FrankRuehl"/>
        <w:noProof/>
        <w:sz w:val="28"/>
        <w:szCs w:val="28"/>
      </w:rPr>
      <w:drawing>
        <wp:inline distT="0" distB="0" distL="0" distR="0" wp14:anchorId="7BB4AE00" wp14:editId="5D84335B">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6"/>
    </w:tblGrid>
    <w:tr w:rsidR="00AF5959" w:rsidTr="00C85D6F">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tcPr>
            <w:p w:rsidR="00AF5959" w:rsidRPr="00F038D8" w:rsidRDefault="00AF5959" w:rsidP="00AF5959">
              <w:pPr>
                <w:pStyle w:val="a4"/>
                <w:jc w:val="center"/>
                <w:rPr>
                  <w:rFonts w:ascii="Tahoma" w:hAnsi="Tahoma"/>
                  <w:color w:val="000080"/>
                  <w:sz w:val="32"/>
                  <w:szCs w:val="32"/>
                  <w:rtl/>
                </w:rPr>
              </w:pPr>
              <w:r w:rsidRPr="00F038D8">
                <w:rPr>
                  <w:rFonts w:ascii="Tahoma" w:hAnsi="Tahoma"/>
                  <w:color w:val="000080"/>
                  <w:sz w:val="32"/>
                  <w:szCs w:val="32"/>
                  <w:rtl/>
                </w:rPr>
                <w:t>בית המשפט המחוזי בבאר שבע</w:t>
              </w:r>
            </w:p>
          </w:tc>
        </w:sdtContent>
      </w:sdt>
    </w:tr>
  </w:tbl>
  <w:p w:rsidR="00AF5959" w:rsidRPr="00AF5959" w:rsidRDefault="00AF595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84855A9"/>
    <w:multiLevelType w:val="hybridMultilevel"/>
    <w:tmpl w:val="DD185F24"/>
    <w:lvl w:ilvl="0" w:tplc="F65CDE2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A59044C"/>
    <w:multiLevelType w:val="hybridMultilevel"/>
    <w:tmpl w:val="3808E3C6"/>
    <w:lvl w:ilvl="0" w:tplc="DE0889BA">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588"/>
    <w:rsid w:val="00462ECE"/>
    <w:rsid w:val="00496588"/>
    <w:rsid w:val="004D03D8"/>
    <w:rsid w:val="007B3FC1"/>
    <w:rsid w:val="009A1710"/>
    <w:rsid w:val="009F435A"/>
    <w:rsid w:val="00A178C5"/>
    <w:rsid w:val="00AF5959"/>
    <w:rsid w:val="00C41D1F"/>
    <w:rsid w:val="00D8067F"/>
    <w:rsid w:val="00E041D3"/>
    <w:rsid w:val="00F8120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39E492-4259-406A-A26E-1E144DC99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1D1F"/>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41D1F"/>
    <w:pPr>
      <w:ind w:left="720"/>
      <w:contextualSpacing/>
    </w:pPr>
  </w:style>
  <w:style w:type="paragraph" w:styleId="a4">
    <w:name w:val="header"/>
    <w:basedOn w:val="a"/>
    <w:link w:val="a5"/>
    <w:unhideWhenUsed/>
    <w:rsid w:val="00AF5959"/>
    <w:pPr>
      <w:tabs>
        <w:tab w:val="center" w:pos="4153"/>
        <w:tab w:val="right" w:pos="8306"/>
      </w:tabs>
      <w:spacing w:after="0" w:line="240" w:lineRule="auto"/>
    </w:pPr>
  </w:style>
  <w:style w:type="character" w:customStyle="1" w:styleId="a5">
    <w:name w:val="כותרת עליונה תו"/>
    <w:basedOn w:val="a0"/>
    <w:link w:val="a4"/>
    <w:uiPriority w:val="99"/>
    <w:rsid w:val="00AF5959"/>
  </w:style>
  <w:style w:type="paragraph" w:styleId="a6">
    <w:name w:val="footer"/>
    <w:basedOn w:val="a"/>
    <w:link w:val="a7"/>
    <w:uiPriority w:val="99"/>
    <w:unhideWhenUsed/>
    <w:rsid w:val="00AF5959"/>
    <w:pPr>
      <w:tabs>
        <w:tab w:val="center" w:pos="4153"/>
        <w:tab w:val="right" w:pos="8306"/>
      </w:tabs>
      <w:spacing w:after="0" w:line="240" w:lineRule="auto"/>
    </w:pPr>
  </w:style>
  <w:style w:type="character" w:customStyle="1" w:styleId="a7">
    <w:name w:val="כותרת תחתונה תו"/>
    <w:basedOn w:val="a0"/>
    <w:link w:val="a6"/>
    <w:uiPriority w:val="99"/>
    <w:rsid w:val="00AF59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Dover@court.gov.i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547</Words>
  <Characters>2740</Characters>
  <Application>Microsoft Office Word</Application>
  <DocSecurity>0</DocSecurity>
  <Lines>22</Lines>
  <Paragraphs>6</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יואב עטר</dc:creator>
  <cp:keywords/>
  <dc:description/>
  <cp:lastModifiedBy>אסתר טטרואשילי</cp:lastModifiedBy>
  <cp:revision>2</cp:revision>
  <dcterms:created xsi:type="dcterms:W3CDTF">2023-07-04T09:30:00Z</dcterms:created>
  <dcterms:modified xsi:type="dcterms:W3CDTF">2023-07-04T09:30:00Z</dcterms:modified>
</cp:coreProperties>
</file>